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2A6" w:rsidRPr="00C94AC8" w:rsidRDefault="003552A6" w:rsidP="003552A6">
      <w:pPr>
        <w:jc w:val="center"/>
        <w:rPr>
          <w:sz w:val="32"/>
          <w:szCs w:val="32"/>
        </w:rPr>
      </w:pPr>
      <w:r w:rsidRPr="00C94AC8">
        <w:rPr>
          <w:sz w:val="32"/>
          <w:szCs w:val="32"/>
        </w:rPr>
        <w:t>FELTON FIRE PROTECTION DISTRICT</w:t>
      </w:r>
    </w:p>
    <w:p w:rsidR="003552A6" w:rsidRPr="00C94AC8" w:rsidRDefault="003552A6" w:rsidP="003552A6">
      <w:pPr>
        <w:jc w:val="center"/>
        <w:rPr>
          <w:sz w:val="32"/>
          <w:szCs w:val="32"/>
          <w:u w:val="single"/>
        </w:rPr>
      </w:pPr>
      <w:r w:rsidRPr="00C94AC8">
        <w:rPr>
          <w:sz w:val="32"/>
          <w:szCs w:val="32"/>
          <w:u w:val="single"/>
        </w:rPr>
        <w:t>STANDARD OPERATING PROCEDURES</w:t>
      </w:r>
    </w:p>
    <w:p w:rsidR="003552A6" w:rsidRPr="00C94AC8" w:rsidRDefault="003552A6" w:rsidP="003552A6">
      <w:pPr>
        <w:jc w:val="center"/>
        <w:rPr>
          <w:sz w:val="32"/>
          <w:szCs w:val="32"/>
          <w:u w:val="single"/>
        </w:rPr>
      </w:pPr>
    </w:p>
    <w:p w:rsidR="003552A6" w:rsidRPr="00C94AC8" w:rsidRDefault="00446C13" w:rsidP="003552A6">
      <w:pPr>
        <w:rPr>
          <w:sz w:val="28"/>
          <w:szCs w:val="28"/>
        </w:rPr>
      </w:pPr>
      <w:r>
        <w:rPr>
          <w:sz w:val="28"/>
          <w:szCs w:val="28"/>
        </w:rPr>
        <w:t>ARTICLE: 1</w:t>
      </w:r>
      <w:r>
        <w:rPr>
          <w:sz w:val="28"/>
          <w:szCs w:val="28"/>
        </w:rPr>
        <w:tab/>
      </w:r>
      <w:r>
        <w:rPr>
          <w:sz w:val="28"/>
          <w:szCs w:val="28"/>
        </w:rPr>
        <w:tab/>
      </w:r>
      <w:r>
        <w:rPr>
          <w:sz w:val="28"/>
          <w:szCs w:val="28"/>
        </w:rPr>
        <w:tab/>
      </w:r>
      <w:r>
        <w:rPr>
          <w:sz w:val="28"/>
          <w:szCs w:val="28"/>
        </w:rPr>
        <w:tab/>
      </w:r>
      <w:r>
        <w:rPr>
          <w:sz w:val="28"/>
          <w:szCs w:val="28"/>
        </w:rPr>
        <w:tab/>
        <w:t>SOP: 1</w:t>
      </w:r>
      <w:r w:rsidR="00964C82">
        <w:rPr>
          <w:sz w:val="28"/>
          <w:szCs w:val="28"/>
        </w:rPr>
        <w:t>4</w:t>
      </w:r>
      <w:r>
        <w:rPr>
          <w:sz w:val="28"/>
          <w:szCs w:val="28"/>
        </w:rPr>
        <w:t>07</w:t>
      </w:r>
    </w:p>
    <w:p w:rsidR="003552A6" w:rsidRPr="00C94AC8" w:rsidRDefault="00446C13" w:rsidP="003552A6">
      <w:pPr>
        <w:rPr>
          <w:sz w:val="28"/>
          <w:szCs w:val="28"/>
        </w:rPr>
      </w:pPr>
      <w:r>
        <w:rPr>
          <w:sz w:val="28"/>
          <w:szCs w:val="28"/>
        </w:rPr>
        <w:t>SECTION: 1400</w:t>
      </w:r>
      <w:r>
        <w:rPr>
          <w:sz w:val="28"/>
          <w:szCs w:val="28"/>
        </w:rPr>
        <w:tab/>
        <w:t>GENERAL ORDERS</w:t>
      </w:r>
    </w:p>
    <w:p w:rsidR="003552A6" w:rsidRPr="00C94AC8" w:rsidRDefault="003552A6" w:rsidP="003552A6">
      <w:pPr>
        <w:rPr>
          <w:sz w:val="28"/>
          <w:szCs w:val="28"/>
        </w:rPr>
      </w:pPr>
      <w:r w:rsidRPr="00C94AC8">
        <w:rPr>
          <w:sz w:val="28"/>
          <w:szCs w:val="28"/>
        </w:rPr>
        <w:t xml:space="preserve">SUBJECT: </w:t>
      </w:r>
      <w:r w:rsidR="00446C13">
        <w:rPr>
          <w:sz w:val="28"/>
          <w:szCs w:val="28"/>
          <w:u w:val="single"/>
        </w:rPr>
        <w:t>CONFLICT OF INTEREST POLICY</w:t>
      </w:r>
    </w:p>
    <w:p w:rsidR="003552A6" w:rsidRDefault="003552A6" w:rsidP="003552A6">
      <w:pPr>
        <w:rPr>
          <w:b/>
        </w:rPr>
      </w:pPr>
    </w:p>
    <w:p w:rsidR="00CA668E" w:rsidRDefault="00CA668E" w:rsidP="003552A6">
      <w:pPr>
        <w:rPr>
          <w:b/>
        </w:rPr>
      </w:pPr>
    </w:p>
    <w:p w:rsidR="00C94AC8" w:rsidRDefault="006C2C99" w:rsidP="00906A1F">
      <w:r w:rsidRPr="006C2C99">
        <w:rPr>
          <w:u w:val="single"/>
        </w:rPr>
        <w:t>GENERAL PROVISION</w:t>
      </w:r>
    </w:p>
    <w:p w:rsidR="006C2C99" w:rsidRDefault="006C2C99" w:rsidP="00906A1F"/>
    <w:p w:rsidR="006C2C99" w:rsidRDefault="006C2C99" w:rsidP="00906A1F">
      <w:r>
        <w:t>California Government Code Section 87100:  No public official at any level of state or local government shall make, participate in making or in any way attempt to use his/her official position to influence a governmental decision in which he knows or has reason to know he/she has a financial interest.</w:t>
      </w:r>
    </w:p>
    <w:p w:rsidR="006C2C99" w:rsidRDefault="006C2C99" w:rsidP="00906A1F"/>
    <w:p w:rsidR="006C2C99" w:rsidRDefault="006C2C99" w:rsidP="00906A1F">
      <w:r>
        <w:t>A designated member is required to disclose that he/she is a director, officer, partner, trustee, employee, or holds any position of management, in a business entity if he/she would be required to disclose income from that entity.  Income includes loans and gifts.  For purposes of disclosure, “interest in real property” does not include the principal residence of the filer or any other property which the filer utilizes exclusively as the personal residence of the filer.</w:t>
      </w:r>
    </w:p>
    <w:p w:rsidR="006C2C99" w:rsidRDefault="006C2C99" w:rsidP="00906A1F"/>
    <w:p w:rsidR="006C2C99" w:rsidRDefault="006C2C99" w:rsidP="00906A1F">
      <w:r>
        <w:rPr>
          <w:u w:val="single"/>
        </w:rPr>
        <w:t>CATEGORY 1</w:t>
      </w:r>
    </w:p>
    <w:p w:rsidR="006C2C99" w:rsidRDefault="006C2C99" w:rsidP="006C2C99"/>
    <w:p w:rsidR="006C2C99" w:rsidRDefault="006C2C99" w:rsidP="006C2C99">
      <w:pPr>
        <w:pStyle w:val="ListParagraph"/>
        <w:numPr>
          <w:ilvl w:val="0"/>
          <w:numId w:val="14"/>
        </w:numPr>
      </w:pPr>
      <w:r>
        <w:t>Any interest in real property located with the boundaries of the Felton Fire Protection District or within 2 miles of the Felton Fire Protection District.</w:t>
      </w:r>
    </w:p>
    <w:p w:rsidR="006C2C99" w:rsidRDefault="006C2C99" w:rsidP="006C2C99">
      <w:pPr>
        <w:pStyle w:val="ListParagraph"/>
        <w:numPr>
          <w:ilvl w:val="0"/>
          <w:numId w:val="14"/>
        </w:numPr>
      </w:pPr>
      <w:r>
        <w:t xml:space="preserve">Any investment or income, as defined by this code, including loans, gifts and business positions, in or from any person or business entity manufactures, leases, sell, or </w:t>
      </w:r>
      <w:proofErr w:type="gramStart"/>
      <w:r>
        <w:t>repairs</w:t>
      </w:r>
      <w:proofErr w:type="gramEnd"/>
      <w:r>
        <w:t xml:space="preserve"> any goods, services, equipment or other items purchased by the Felton Fire Protection District.</w:t>
      </w:r>
    </w:p>
    <w:p w:rsidR="008A7713" w:rsidRDefault="006C2C99" w:rsidP="006C2C99">
      <w:pPr>
        <w:pStyle w:val="ListParagraph"/>
        <w:numPr>
          <w:ilvl w:val="0"/>
          <w:numId w:val="14"/>
        </w:numPr>
      </w:pPr>
      <w:r>
        <w:t>Any investment or income, as defined by this code</w:t>
      </w:r>
      <w:r w:rsidR="008A7713">
        <w:t>, in, including loans, gifts and business positions, in or form any person or business entity which owns, or during the past twelve month owned an interest in real property located within the boundaries of the Felton Fire Protection District or within 2 miles of the Felton Fire Protection District.</w:t>
      </w:r>
    </w:p>
    <w:p w:rsidR="008A7713" w:rsidRDefault="008A7713" w:rsidP="006C2C99">
      <w:pPr>
        <w:pStyle w:val="ListParagraph"/>
        <w:numPr>
          <w:ilvl w:val="0"/>
          <w:numId w:val="14"/>
        </w:numPr>
      </w:pPr>
      <w:r>
        <w:t>Any income, as defined by this code, including loans or gifts from any person who is employed by or applies for employment with the Felton Fire Protection District.</w:t>
      </w:r>
    </w:p>
    <w:p w:rsidR="008A7713" w:rsidRDefault="008A7713" w:rsidP="006C2C99">
      <w:pPr>
        <w:pStyle w:val="ListParagraph"/>
        <w:numPr>
          <w:ilvl w:val="0"/>
          <w:numId w:val="14"/>
        </w:numPr>
      </w:pPr>
      <w:r>
        <w:t>Any investment or income, as defined by this code, including loans or gifts and business positions, in or form any person or business entity which does, is seeking, or during the last twelve months did or sought to do business within the boundaries of the Felton Fire Protection District or within 2 miles of the Felton Fire Protection District.</w:t>
      </w:r>
    </w:p>
    <w:p w:rsidR="008A7713" w:rsidRDefault="008A7713" w:rsidP="008A7713"/>
    <w:p w:rsidR="008A7713" w:rsidRDefault="008A7713" w:rsidP="008A7713"/>
    <w:p w:rsidR="006C2C99" w:rsidRDefault="008A7713" w:rsidP="008A7713">
      <w:pPr>
        <w:rPr>
          <w:b/>
        </w:rPr>
      </w:pPr>
      <w:r w:rsidRPr="008A7713">
        <w:rPr>
          <w:b/>
          <w:u w:val="single"/>
        </w:rPr>
        <w:lastRenderedPageBreak/>
        <w:t xml:space="preserve">2 CA </w:t>
      </w:r>
      <w:proofErr w:type="gramStart"/>
      <w:r w:rsidRPr="008A7713">
        <w:rPr>
          <w:b/>
          <w:u w:val="single"/>
        </w:rPr>
        <w:t>Code</w:t>
      </w:r>
      <w:proofErr w:type="gramEnd"/>
      <w:r w:rsidRPr="008A7713">
        <w:rPr>
          <w:b/>
          <w:u w:val="single"/>
        </w:rPr>
        <w:t xml:space="preserve"> of Regulations, Section 18730: </w:t>
      </w:r>
      <w:r w:rsidR="006C2C99" w:rsidRPr="008A7713">
        <w:rPr>
          <w:b/>
          <w:u w:val="single"/>
        </w:rPr>
        <w:t xml:space="preserve"> </w:t>
      </w:r>
    </w:p>
    <w:p w:rsidR="00026EF5" w:rsidRDefault="00026EF5" w:rsidP="008A7713">
      <w:pPr>
        <w:rPr>
          <w:b/>
        </w:rPr>
      </w:pPr>
    </w:p>
    <w:p w:rsidR="00026EF5" w:rsidRDefault="00026EF5" w:rsidP="008A7713">
      <w:pPr>
        <w:rPr>
          <w:b/>
        </w:rPr>
      </w:pPr>
      <w:r>
        <w:rPr>
          <w:b/>
        </w:rPr>
        <w:t>18730. Provision of Conflict of Interest Codes.</w:t>
      </w:r>
    </w:p>
    <w:p w:rsidR="00026EF5" w:rsidRDefault="00026EF5" w:rsidP="00026EF5">
      <w:pPr>
        <w:rPr>
          <w:b/>
        </w:rPr>
      </w:pPr>
    </w:p>
    <w:p w:rsidR="00026EF5" w:rsidRPr="00026EF5" w:rsidRDefault="00026EF5" w:rsidP="00026EF5">
      <w:pPr>
        <w:pStyle w:val="ListParagraph"/>
        <w:numPr>
          <w:ilvl w:val="0"/>
          <w:numId w:val="16"/>
        </w:numPr>
        <w:rPr>
          <w:b/>
        </w:rPr>
      </w:pPr>
      <w:r>
        <w:t>Incorporation by reference of the terms of this regulation along with the designation of employees and the formulation of disclosure categories in the Appendix referred to below constitute the adoption and promulgation of a conflict of interest code with the meaning of the Government Code section 87300 or the amendment of a conflict of interest code within the meaning of Government Code section 87306 if the terms of this regulation are substituted for terms of a conflict of interest code already in effect.  A code so amended or adopted and promulgated requires the reporting of reportable items in a manner substantially equivalent to the requirements of article 2 of chapter 7 of the Political Reform Act, Government Code sections 81000, et seq.  The requirements of a conflict of interest code are in addition to other requirements of the Political Reform Act, such as the general prohibition against conflicts of interest contained in government Code section 87100, and to other state and local laws pertaining to conflicts of interest.</w:t>
      </w:r>
    </w:p>
    <w:p w:rsidR="00026EF5" w:rsidRPr="00026EF5" w:rsidRDefault="00026EF5" w:rsidP="00026EF5">
      <w:pPr>
        <w:pStyle w:val="ListParagraph"/>
        <w:numPr>
          <w:ilvl w:val="0"/>
          <w:numId w:val="16"/>
        </w:numPr>
        <w:rPr>
          <w:b/>
        </w:rPr>
      </w:pPr>
      <w:r>
        <w:t>The terms of a conflict of interest code amended or adopted and promulgated pursuant to the regulation are as follows:</w:t>
      </w:r>
    </w:p>
    <w:p w:rsidR="00026EF5" w:rsidRPr="000F6DA2" w:rsidRDefault="00890C0E" w:rsidP="00026EF5">
      <w:pPr>
        <w:pStyle w:val="ListParagraph"/>
        <w:numPr>
          <w:ilvl w:val="1"/>
          <w:numId w:val="16"/>
        </w:numPr>
        <w:rPr>
          <w:b/>
        </w:rPr>
      </w:pPr>
      <w:r>
        <w:t xml:space="preserve">Section 1 </w:t>
      </w:r>
      <w:proofErr w:type="gramStart"/>
      <w:r>
        <w:t>Definitions</w:t>
      </w:r>
      <w:proofErr w:type="gramEnd"/>
      <w:r>
        <w:t>.  The definitions contain in the Political Reform Act of 1974, regulations</w:t>
      </w:r>
      <w:r w:rsidR="00026EF5" w:rsidRPr="00026EF5">
        <w:rPr>
          <w:b/>
        </w:rPr>
        <w:t xml:space="preserve"> </w:t>
      </w:r>
      <w:r>
        <w:t xml:space="preserve">of the Fait Political Practices Commission (2 CA code of </w:t>
      </w:r>
      <w:proofErr w:type="spellStart"/>
      <w:r>
        <w:t>Regs</w:t>
      </w:r>
      <w:proofErr w:type="spellEnd"/>
      <w:r>
        <w:t>. section 18100</w:t>
      </w:r>
      <w:r w:rsidR="000F6DA2">
        <w:t>, et seq.) and any amendments to the Act or regulations, are incorporated by reference into this conflict of interest code.</w:t>
      </w:r>
    </w:p>
    <w:p w:rsidR="000F6DA2" w:rsidRPr="000F6DA2" w:rsidRDefault="000F6DA2" w:rsidP="00026EF5">
      <w:pPr>
        <w:pStyle w:val="ListParagraph"/>
        <w:numPr>
          <w:ilvl w:val="1"/>
          <w:numId w:val="16"/>
        </w:numPr>
        <w:rPr>
          <w:b/>
        </w:rPr>
      </w:pPr>
      <w:r>
        <w:t xml:space="preserve">Section 2. Designated Employees.  The persons holding positions listed in the Appendix are designated employees.  It has been determined that these persons make or participate in the making of decisions which may </w:t>
      </w:r>
      <w:proofErr w:type="spellStart"/>
      <w:r>
        <w:t>foreseeably</w:t>
      </w:r>
      <w:proofErr w:type="spellEnd"/>
      <w:r>
        <w:t xml:space="preserve"> have a material effect on financial interests.</w:t>
      </w:r>
    </w:p>
    <w:p w:rsidR="000F6DA2" w:rsidRPr="000F6DA2" w:rsidRDefault="000F6DA2" w:rsidP="000F6DA2">
      <w:pPr>
        <w:pStyle w:val="ListParagraph"/>
        <w:numPr>
          <w:ilvl w:val="1"/>
          <w:numId w:val="16"/>
        </w:numPr>
        <w:rPr>
          <w:b/>
        </w:rPr>
      </w:pPr>
      <w:r>
        <w:t>Section 3. Disclosure Categories.  This code does not establish any disclosure obligation for the designated employees who are also specified in government Code section 87200 if they are designated in the code in the same capacity of if the geographical jurisdiction of this agency is the same as or is wholly included within the jurisdiction in which those persons must report their financial interests pursuant to article 2 of chapter 7 of the Political Reform Act, Government Code sections 87200 et seq.</w:t>
      </w:r>
    </w:p>
    <w:p w:rsidR="000F6DA2" w:rsidRDefault="000F6DA2" w:rsidP="000F6DA2">
      <w:pPr>
        <w:pStyle w:val="ListParagraph"/>
        <w:ind w:left="1440"/>
      </w:pPr>
      <w:r>
        <w:t>In addition, this code does not establish any disclosure obligation for any designated employees who are designated in a conflict of interest code for another agency, if all of the following apply:</w:t>
      </w:r>
    </w:p>
    <w:p w:rsidR="000F6DA2" w:rsidRPr="000F6DA2" w:rsidRDefault="000F6DA2" w:rsidP="000F6DA2">
      <w:pPr>
        <w:pStyle w:val="ListParagraph"/>
        <w:numPr>
          <w:ilvl w:val="2"/>
          <w:numId w:val="16"/>
        </w:numPr>
        <w:rPr>
          <w:b/>
        </w:rPr>
      </w:pPr>
      <w:r>
        <w:t>The geographical jurisdiction of this agency is the same as or is wholly included with the jurisdiction of another agency;</w:t>
      </w:r>
    </w:p>
    <w:p w:rsidR="000F6DA2" w:rsidRPr="000F6DA2" w:rsidRDefault="000F6DA2" w:rsidP="000F6DA2">
      <w:pPr>
        <w:pStyle w:val="ListParagraph"/>
        <w:numPr>
          <w:ilvl w:val="2"/>
          <w:numId w:val="16"/>
        </w:numPr>
        <w:rPr>
          <w:b/>
        </w:rPr>
      </w:pPr>
      <w:r>
        <w:t xml:space="preserve">The disclosure assigned in the code of the other agency is the same as that required under article 2 of chapter 7 of the </w:t>
      </w:r>
      <w:r w:rsidR="00D025DC">
        <w:t>Political</w:t>
      </w:r>
      <w:r>
        <w:t xml:space="preserve"> Reform Act, Government Code section 87200; and</w:t>
      </w:r>
    </w:p>
    <w:p w:rsidR="000F6DA2" w:rsidRPr="000F6DA2" w:rsidRDefault="000F6DA2" w:rsidP="000F6DA2">
      <w:pPr>
        <w:pStyle w:val="ListParagraph"/>
        <w:numPr>
          <w:ilvl w:val="2"/>
          <w:numId w:val="16"/>
        </w:numPr>
        <w:rPr>
          <w:b/>
        </w:rPr>
      </w:pPr>
      <w:r>
        <w:t>The filing officer is the same for both agencies.</w:t>
      </w:r>
    </w:p>
    <w:p w:rsidR="00ED1E6F" w:rsidRDefault="000F6DA2" w:rsidP="000F6DA2">
      <w:pPr>
        <w:ind w:left="1440"/>
      </w:pPr>
      <w:r>
        <w:lastRenderedPageBreak/>
        <w:t>Such persons are covered by this code for disqualification purpose only.  With respect to all other designated employees, the disclosure categories set forth in the Appendix specify which kinds of financial interests are reportable.  Such a designated employee shall disclose in his/her statement of economic interests this financial interests he/she has which are of the kind described in the disclosure categories</w:t>
      </w:r>
      <w:r w:rsidR="00ED1E6F">
        <w:t xml:space="preserve"> to which he/she is assigned in the Appendix.  It has been determined that the financial interests set forth in a designated employee’s disclosure categories are the kinds of financial interests which he/she </w:t>
      </w:r>
      <w:proofErr w:type="spellStart"/>
      <w:r w:rsidR="00ED1E6F">
        <w:t>foreseeably</w:t>
      </w:r>
      <w:proofErr w:type="spellEnd"/>
      <w:r w:rsidR="00ED1E6F">
        <w:t xml:space="preserve"> can affect materially through the conduct of his/her office.</w:t>
      </w:r>
    </w:p>
    <w:p w:rsidR="00747513" w:rsidRPr="00747513" w:rsidRDefault="00747513" w:rsidP="00747513">
      <w:pPr>
        <w:pStyle w:val="ListParagraph"/>
        <w:numPr>
          <w:ilvl w:val="1"/>
          <w:numId w:val="16"/>
        </w:numPr>
        <w:rPr>
          <w:b/>
        </w:rPr>
      </w:pPr>
      <w:r>
        <w:t>Section 4 Statements of Economic Interests:  Place of Filing.  The code reviewing body shall instruct all designated employees within its code to file statements of economic interests with the agency or with the code reviewing body, as provided by the code reviewing body in the agency’s conflict of interest code.</w:t>
      </w:r>
    </w:p>
    <w:p w:rsidR="00747513" w:rsidRPr="00747513" w:rsidRDefault="00747513" w:rsidP="00747513">
      <w:pPr>
        <w:pStyle w:val="ListParagraph"/>
        <w:numPr>
          <w:ilvl w:val="1"/>
          <w:numId w:val="16"/>
        </w:numPr>
        <w:rPr>
          <w:b/>
        </w:rPr>
      </w:pPr>
      <w:r>
        <w:t>Section 5. Statements of Economic Interests: Time of Filing.</w:t>
      </w:r>
    </w:p>
    <w:p w:rsidR="00747513" w:rsidRPr="00747513" w:rsidRDefault="00747513" w:rsidP="00747513">
      <w:pPr>
        <w:pStyle w:val="ListParagraph"/>
        <w:numPr>
          <w:ilvl w:val="2"/>
          <w:numId w:val="16"/>
        </w:numPr>
        <w:rPr>
          <w:b/>
        </w:rPr>
      </w:pPr>
      <w:r>
        <w:t>Initial Statements.  All designated employees employed by the agency on the effective date of this code, as originally adopted, promulgated and approved by the code reviewing body, shall file statements within 30 day after the effective date of this code.  Thereafter, each person already in a position when it is designated by an amendment to this code shall file an initial statement within 30 days after the effective date of the amendment.</w:t>
      </w:r>
    </w:p>
    <w:p w:rsidR="00747513" w:rsidRPr="00747513" w:rsidRDefault="00747513" w:rsidP="00747513">
      <w:pPr>
        <w:pStyle w:val="ListParagraph"/>
        <w:numPr>
          <w:ilvl w:val="2"/>
          <w:numId w:val="16"/>
        </w:numPr>
        <w:rPr>
          <w:b/>
        </w:rPr>
      </w:pPr>
      <w:r>
        <w:t>Assuming Office Statements.  All persons assuming designated positions after the effective date of this code shall file statements within 30 days after assuming the designated positions, or if subject to State Senate confirmation, 30 days after being nominated or appointed.</w:t>
      </w:r>
    </w:p>
    <w:p w:rsidR="00747513" w:rsidRPr="00747513" w:rsidRDefault="00747513" w:rsidP="00747513">
      <w:pPr>
        <w:pStyle w:val="ListParagraph"/>
        <w:numPr>
          <w:ilvl w:val="2"/>
          <w:numId w:val="16"/>
        </w:numPr>
        <w:rPr>
          <w:b/>
        </w:rPr>
      </w:pPr>
      <w:r>
        <w:t>Annual Statements.  All designated employees shall file statements no later than April1.</w:t>
      </w:r>
    </w:p>
    <w:p w:rsidR="00747513" w:rsidRPr="00747513" w:rsidRDefault="00747513" w:rsidP="00747513">
      <w:pPr>
        <w:pStyle w:val="ListParagraph"/>
        <w:numPr>
          <w:ilvl w:val="2"/>
          <w:numId w:val="16"/>
        </w:numPr>
        <w:rPr>
          <w:b/>
        </w:rPr>
      </w:pPr>
      <w:r>
        <w:t>Leaving Office Statements.  All persons who leave designated positions shall file statements within 30 days after leaving office.</w:t>
      </w:r>
    </w:p>
    <w:p w:rsidR="00B0494A" w:rsidRPr="00B0494A" w:rsidRDefault="00747513" w:rsidP="00747513">
      <w:pPr>
        <w:pStyle w:val="ListParagraph"/>
        <w:numPr>
          <w:ilvl w:val="1"/>
          <w:numId w:val="16"/>
        </w:numPr>
        <w:rPr>
          <w:b/>
        </w:rPr>
      </w:pPr>
      <w:r>
        <w:t>Section 5.5. Statements for Persons Who Resign Prior to Assuming Office.  Any person who resigns within 12 months of initial appointment, or within 30 days of the date of notice provided by the filing officer to file an assuming office statement</w:t>
      </w:r>
      <w:r w:rsidR="00D96537">
        <w:t xml:space="preserve"> is not deemed to have assumed office or left office, provided </w:t>
      </w:r>
      <w:r w:rsidR="00B0494A">
        <w:t>he/she did not make or participate in the making of, or use his/her position to influence any decision and did not receive or become entitled to receive any form of payment as a result of his/her appointment.  Such persons shall not file either an assuming or leaving office statement.</w:t>
      </w:r>
    </w:p>
    <w:p w:rsidR="00B0494A" w:rsidRPr="00B0494A" w:rsidRDefault="00B0494A" w:rsidP="00B0494A">
      <w:pPr>
        <w:pStyle w:val="ListParagraph"/>
        <w:numPr>
          <w:ilvl w:val="2"/>
          <w:numId w:val="16"/>
        </w:numPr>
        <w:rPr>
          <w:b/>
        </w:rPr>
      </w:pPr>
      <w:r>
        <w:t>Any person who resigns a position within 30 days of the date of a notice from the filing officer shall do both of the following:</w:t>
      </w:r>
    </w:p>
    <w:p w:rsidR="00B0494A" w:rsidRPr="00B0494A" w:rsidRDefault="00B0494A" w:rsidP="00B0494A">
      <w:pPr>
        <w:pStyle w:val="ListParagraph"/>
        <w:numPr>
          <w:ilvl w:val="3"/>
          <w:numId w:val="16"/>
        </w:numPr>
        <w:rPr>
          <w:b/>
        </w:rPr>
      </w:pPr>
      <w:r>
        <w:t>File a written resignation with the appointing power; and</w:t>
      </w:r>
    </w:p>
    <w:p w:rsidR="00B0494A" w:rsidRPr="00B0494A" w:rsidRDefault="00B0494A" w:rsidP="00B0494A">
      <w:pPr>
        <w:pStyle w:val="ListParagraph"/>
        <w:numPr>
          <w:ilvl w:val="3"/>
          <w:numId w:val="16"/>
        </w:numPr>
        <w:rPr>
          <w:b/>
        </w:rPr>
      </w:pPr>
      <w:r>
        <w:t xml:space="preserve">File a written statement with the filing officer declaring under penalty of perjury that during the period between </w:t>
      </w:r>
      <w:r>
        <w:lastRenderedPageBreak/>
        <w:t>appointment and resignation he/she did not make, participate in the making, or use the position to influence any decision of the agency or receive, or become entitled to receive, any form of payment by virtue of being appointed to the position.</w:t>
      </w:r>
    </w:p>
    <w:p w:rsidR="0060610B" w:rsidRPr="0060610B" w:rsidRDefault="0060610B" w:rsidP="00B0494A">
      <w:pPr>
        <w:pStyle w:val="ListParagraph"/>
        <w:numPr>
          <w:ilvl w:val="1"/>
          <w:numId w:val="16"/>
        </w:numPr>
        <w:rPr>
          <w:b/>
        </w:rPr>
      </w:pPr>
      <w:r>
        <w:t>Section 6. Contents of and Period Covered by Statement of Economic Interests.</w:t>
      </w:r>
    </w:p>
    <w:p w:rsidR="0060610B" w:rsidRPr="0060610B" w:rsidRDefault="0060610B" w:rsidP="0060610B">
      <w:pPr>
        <w:pStyle w:val="ListParagraph"/>
        <w:numPr>
          <w:ilvl w:val="2"/>
          <w:numId w:val="16"/>
        </w:numPr>
        <w:rPr>
          <w:b/>
        </w:rPr>
      </w:pPr>
      <w:r>
        <w:t>Contents of Initial Statements.  Initial statements shall disclose any reportable investments, interest in real property and business positions held on the effective date of the code and income received during the 12 months prior to the effective date of the code.</w:t>
      </w:r>
    </w:p>
    <w:p w:rsidR="0060610B" w:rsidRPr="0060610B" w:rsidRDefault="0060610B" w:rsidP="0060610B">
      <w:pPr>
        <w:pStyle w:val="ListParagraph"/>
        <w:numPr>
          <w:ilvl w:val="2"/>
          <w:numId w:val="16"/>
        </w:numPr>
        <w:rPr>
          <w:b/>
        </w:rPr>
      </w:pPr>
      <w:r>
        <w:t>Contents of Assuming Office Statements.  Assuming office statements shall disclose an reportable investments, interests in real property and business positions held on the date of assuming office or, if subject to State Senate confirmation or appointment, on the date of nomination, and income received during the 122 months  prior to the date of assuming office or the sate of being appointed or nominated, respectively.</w:t>
      </w:r>
    </w:p>
    <w:p w:rsidR="0060610B" w:rsidRPr="0060610B" w:rsidRDefault="0060610B" w:rsidP="0060610B">
      <w:pPr>
        <w:pStyle w:val="ListParagraph"/>
        <w:numPr>
          <w:ilvl w:val="2"/>
          <w:numId w:val="16"/>
        </w:numPr>
        <w:rPr>
          <w:b/>
        </w:rPr>
      </w:pPr>
      <w:r>
        <w:t>Contents of Annual Statements.  Leaving office statements shall disclose reportable investments, interests in real property, income and business positions held or received during the period between the closing date of the last statement filed and the date of leaving office.</w:t>
      </w:r>
    </w:p>
    <w:p w:rsidR="0060610B" w:rsidRPr="0060610B" w:rsidRDefault="0060610B" w:rsidP="0060610B">
      <w:pPr>
        <w:pStyle w:val="ListParagraph"/>
        <w:numPr>
          <w:ilvl w:val="1"/>
          <w:numId w:val="16"/>
        </w:numPr>
        <w:rPr>
          <w:b/>
        </w:rPr>
      </w:pPr>
      <w:r>
        <w:t>Section 7. Manner of Reporting.  Statements of economic interests shall be made on forms prescribed by the Fair Political Practices Commission and supplied by the agency, and shall contain the following information:</w:t>
      </w:r>
    </w:p>
    <w:p w:rsidR="0060610B" w:rsidRPr="0060610B" w:rsidRDefault="0060610B" w:rsidP="0060610B">
      <w:pPr>
        <w:pStyle w:val="ListParagraph"/>
        <w:numPr>
          <w:ilvl w:val="2"/>
          <w:numId w:val="16"/>
        </w:numPr>
        <w:rPr>
          <w:b/>
        </w:rPr>
      </w:pPr>
      <w:r>
        <w:t>Investments and Real Property Disclosure.  When an investment or an interest in real property is required to be reported, the statement shall contain the following:</w:t>
      </w:r>
    </w:p>
    <w:p w:rsidR="0060610B" w:rsidRPr="0060610B" w:rsidRDefault="0060610B" w:rsidP="0060610B">
      <w:pPr>
        <w:pStyle w:val="ListParagraph"/>
        <w:numPr>
          <w:ilvl w:val="3"/>
          <w:numId w:val="16"/>
        </w:numPr>
        <w:rPr>
          <w:b/>
        </w:rPr>
      </w:pPr>
      <w:r>
        <w:t>A statement of the nature of the investment or interest;</w:t>
      </w:r>
    </w:p>
    <w:p w:rsidR="0060610B" w:rsidRPr="0060610B" w:rsidRDefault="0060610B" w:rsidP="0060610B">
      <w:pPr>
        <w:pStyle w:val="ListParagraph"/>
        <w:numPr>
          <w:ilvl w:val="3"/>
          <w:numId w:val="16"/>
        </w:numPr>
        <w:rPr>
          <w:b/>
        </w:rPr>
      </w:pPr>
      <w:r>
        <w:t>The name of the business entity in which each investment is held, and a general description of the business activity in which the business entity is engaged;</w:t>
      </w:r>
    </w:p>
    <w:p w:rsidR="0060610B" w:rsidRPr="0060610B" w:rsidRDefault="0060610B" w:rsidP="0060610B">
      <w:pPr>
        <w:pStyle w:val="ListParagraph"/>
        <w:numPr>
          <w:ilvl w:val="3"/>
          <w:numId w:val="16"/>
        </w:numPr>
        <w:rPr>
          <w:b/>
        </w:rPr>
      </w:pPr>
      <w:r>
        <w:t>The address or other precise location of the real property;</w:t>
      </w:r>
    </w:p>
    <w:p w:rsidR="005F5244" w:rsidRPr="005F5244" w:rsidRDefault="0060610B" w:rsidP="0060610B">
      <w:pPr>
        <w:pStyle w:val="ListParagraph"/>
        <w:numPr>
          <w:ilvl w:val="3"/>
          <w:numId w:val="16"/>
        </w:numPr>
        <w:rPr>
          <w:b/>
        </w:rPr>
      </w:pPr>
      <w:r>
        <w:t>A statement whether the fair market value of the investment or interest in real property exceed two thousand dollars ($2,000), exceeds</w:t>
      </w:r>
      <w:r w:rsidR="005F5244">
        <w:t xml:space="preserve"> ten thousand dollars ($10,000), exceeds one hundred thousand dollars ($100,000), or exceeds one million dollars ($1,000,000).</w:t>
      </w:r>
    </w:p>
    <w:p w:rsidR="005F5244" w:rsidRPr="005F5244" w:rsidRDefault="005F5244" w:rsidP="005F5244">
      <w:pPr>
        <w:pStyle w:val="ListParagraph"/>
        <w:numPr>
          <w:ilvl w:val="2"/>
          <w:numId w:val="16"/>
        </w:numPr>
        <w:rPr>
          <w:b/>
        </w:rPr>
      </w:pPr>
      <w:r>
        <w:t>Personal income Disclosure.  When personal income is required to be reported, the statement shall contain:</w:t>
      </w:r>
    </w:p>
    <w:p w:rsidR="005F5244" w:rsidRPr="005F5244" w:rsidRDefault="005F5244" w:rsidP="005F5244">
      <w:pPr>
        <w:pStyle w:val="ListParagraph"/>
        <w:numPr>
          <w:ilvl w:val="3"/>
          <w:numId w:val="16"/>
        </w:numPr>
        <w:rPr>
          <w:b/>
        </w:rPr>
      </w:pPr>
      <w:r>
        <w:t xml:space="preserve">The name and address of each source of income aggregating five hundred dollars ($500) or more in value, or fifty dollars ($50) or more in value if the income was a </w:t>
      </w:r>
      <w:r>
        <w:lastRenderedPageBreak/>
        <w:t>gift, and a general description of the business activity, if any, of each source;</w:t>
      </w:r>
    </w:p>
    <w:p w:rsidR="005F5244" w:rsidRPr="005F5244" w:rsidRDefault="005F5244" w:rsidP="005F5244">
      <w:pPr>
        <w:pStyle w:val="ListParagraph"/>
        <w:numPr>
          <w:ilvl w:val="3"/>
          <w:numId w:val="16"/>
        </w:numPr>
        <w:rPr>
          <w:b/>
        </w:rPr>
      </w:pPr>
      <w:r>
        <w:t>A statement whether the aggregate value of income from each source, or in the case of a loan, the highest amount owed to each source, was one thousand dollars ($1,000) or less, greater than one thousand dollars ($1,000), greater than ten thousand dollars ($10,000), or greater than one hundred thousand dollars ($100,000);</w:t>
      </w:r>
    </w:p>
    <w:p w:rsidR="000F6DA2" w:rsidRPr="005F5244" w:rsidRDefault="005F5244" w:rsidP="005F5244">
      <w:pPr>
        <w:pStyle w:val="ListParagraph"/>
        <w:numPr>
          <w:ilvl w:val="3"/>
          <w:numId w:val="16"/>
        </w:numPr>
        <w:rPr>
          <w:b/>
        </w:rPr>
      </w:pPr>
      <w:r>
        <w:t xml:space="preserve">A description of the consideration, if any, for the income received; </w:t>
      </w:r>
      <w:r w:rsidR="0060610B">
        <w:t xml:space="preserve"> </w:t>
      </w:r>
    </w:p>
    <w:p w:rsidR="005F5244" w:rsidRPr="005F5244" w:rsidRDefault="005F5244" w:rsidP="005F5244">
      <w:pPr>
        <w:pStyle w:val="ListParagraph"/>
        <w:numPr>
          <w:ilvl w:val="3"/>
          <w:numId w:val="16"/>
        </w:numPr>
        <w:rPr>
          <w:b/>
        </w:rPr>
      </w:pPr>
      <w:r>
        <w:t>In the case of a gift, the name =, address and business activity of the donor and any intermediary through which the gift was made; as description of the gift; the amount or value of the gift; and the date on which the gift was received;</w:t>
      </w:r>
    </w:p>
    <w:p w:rsidR="005F5244" w:rsidRPr="005F5244" w:rsidRDefault="005F5244" w:rsidP="005F5244">
      <w:pPr>
        <w:pStyle w:val="ListParagraph"/>
        <w:numPr>
          <w:ilvl w:val="3"/>
          <w:numId w:val="16"/>
        </w:numPr>
        <w:rPr>
          <w:b/>
        </w:rPr>
      </w:pPr>
      <w:r>
        <w:t>In the case of a loan, the annual interest rate and the security, if any, given for the loan and the term of the loan.</w:t>
      </w:r>
    </w:p>
    <w:p w:rsidR="00B84766" w:rsidRPr="00B84766" w:rsidRDefault="005F5244" w:rsidP="005F5244">
      <w:pPr>
        <w:pStyle w:val="ListParagraph"/>
        <w:numPr>
          <w:ilvl w:val="2"/>
          <w:numId w:val="16"/>
        </w:numPr>
        <w:rPr>
          <w:b/>
        </w:rPr>
      </w:pPr>
      <w:r>
        <w:t>Business Entity Income Disclosure.  When income of a business entity, including income of a sole proprietorship, is required to be reported,</w:t>
      </w:r>
      <w:r w:rsidR="00B84766">
        <w:t xml:space="preserve"> the statement shall contain:</w:t>
      </w:r>
    </w:p>
    <w:p w:rsidR="00B84766" w:rsidRPr="00B84766" w:rsidRDefault="00B84766" w:rsidP="00B84766">
      <w:pPr>
        <w:pStyle w:val="ListParagraph"/>
        <w:numPr>
          <w:ilvl w:val="3"/>
          <w:numId w:val="16"/>
        </w:numPr>
        <w:rPr>
          <w:b/>
        </w:rPr>
      </w:pPr>
      <w:r>
        <w:t>The name, address and a general description of the business activity of the business entity;</w:t>
      </w:r>
    </w:p>
    <w:p w:rsidR="00B84766" w:rsidRPr="00B84766" w:rsidRDefault="00B84766" w:rsidP="00B84766">
      <w:pPr>
        <w:pStyle w:val="ListParagraph"/>
        <w:numPr>
          <w:ilvl w:val="3"/>
          <w:numId w:val="16"/>
        </w:numPr>
        <w:rPr>
          <w:b/>
        </w:rPr>
      </w:pPr>
      <w:r>
        <w:t>The name of every person from whom the business entity received payments if the filer’s pro rata share of gross receipts from such person was equal to or greater than ten thousand dollars ($10,000).</w:t>
      </w:r>
    </w:p>
    <w:p w:rsidR="00B84766" w:rsidRPr="00B84766" w:rsidRDefault="00B84766" w:rsidP="00B84766">
      <w:pPr>
        <w:pStyle w:val="ListParagraph"/>
        <w:numPr>
          <w:ilvl w:val="2"/>
          <w:numId w:val="16"/>
        </w:numPr>
        <w:rPr>
          <w:b/>
        </w:rPr>
      </w:pPr>
      <w:r>
        <w:t>Business Position Disclosure.  When business positions are required to be reported, a designated employee shall list the name and address of each business entity in which he or she is a director, officer, partner, trustee, employee, or in which he or she holds any position of management, a description of the business activity in which the business entity is engaged, and the designated employee’s position with the business entity.</w:t>
      </w:r>
    </w:p>
    <w:p w:rsidR="00B84766" w:rsidRPr="00B84766" w:rsidRDefault="00B84766" w:rsidP="00B84766">
      <w:pPr>
        <w:pStyle w:val="ListParagraph"/>
        <w:numPr>
          <w:ilvl w:val="2"/>
          <w:numId w:val="16"/>
        </w:numPr>
        <w:rPr>
          <w:b/>
        </w:rPr>
      </w:pPr>
      <w:r>
        <w:t xml:space="preserve">Acquisition or Disposal </w:t>
      </w:r>
      <w:proofErr w:type="gramStart"/>
      <w:r>
        <w:t>During</w:t>
      </w:r>
      <w:proofErr w:type="gramEnd"/>
      <w:r>
        <w:t xml:space="preserve"> Reporting Period.  In the case of an annual or leaving office statement, if an investment or an interest in real property was partially or wholly acquired or disposed of during the period covered by the statement, the statement shall contain the date of the acquisition or disposal.</w:t>
      </w:r>
    </w:p>
    <w:p w:rsidR="005F5244" w:rsidRPr="00FF41B8" w:rsidRDefault="00637A56" w:rsidP="00FF41B8">
      <w:pPr>
        <w:pStyle w:val="ListParagraph"/>
        <w:numPr>
          <w:ilvl w:val="0"/>
          <w:numId w:val="18"/>
        </w:numPr>
        <w:rPr>
          <w:b/>
        </w:rPr>
      </w:pPr>
      <w:r>
        <w:t>Section 8. Prohibition on Receipt of Honoraria.</w:t>
      </w:r>
    </w:p>
    <w:p w:rsidR="00FF41B8" w:rsidRPr="00F336A9" w:rsidRDefault="00FF41B8" w:rsidP="00FF41B8">
      <w:pPr>
        <w:pStyle w:val="ListParagraph"/>
        <w:numPr>
          <w:ilvl w:val="1"/>
          <w:numId w:val="18"/>
        </w:numPr>
        <w:rPr>
          <w:b/>
        </w:rPr>
      </w:pPr>
      <w:r>
        <w:t>No member of a state board or commission, and no designated employee of a state or local government agency, shall accept any honorarium for any source, if the member or employee would be required to report the receipt of income or gifts from the source on his or her statement of economic interests.  This section</w:t>
      </w:r>
      <w:r w:rsidR="00F336A9">
        <w:t xml:space="preserve"> shall not apply to any part-time member of the governing board of any public institution of higher education, unless the member is also an elected official.  </w:t>
      </w:r>
      <w:r w:rsidR="00F336A9">
        <w:lastRenderedPageBreak/>
        <w:t xml:space="preserve">Subdivisions (a), (b), and (c) of Government Code section 89501 shall apply to the prohibitions in this section. </w:t>
      </w:r>
    </w:p>
    <w:p w:rsidR="00F336A9" w:rsidRDefault="00F336A9" w:rsidP="00F336A9">
      <w:pPr>
        <w:ind w:left="1800"/>
      </w:pPr>
      <w:r>
        <w:t>This section shall not limit or prohibit payments, advances, or reimbursements for travel and related lodging and subsistence authorized by government Code section 89506.</w:t>
      </w:r>
    </w:p>
    <w:p w:rsidR="00075B7E" w:rsidRDefault="00F336A9" w:rsidP="00075B7E">
      <w:pPr>
        <w:pStyle w:val="ListParagraph"/>
        <w:ind w:left="1440"/>
      </w:pPr>
      <w:r>
        <w:t>Section 8.1</w:t>
      </w:r>
      <w:r w:rsidR="00075B7E">
        <w:t xml:space="preserve"> Prohibition on Receipt of Gifts in Excess of $420</w:t>
      </w:r>
    </w:p>
    <w:p w:rsidR="00075B7E" w:rsidRDefault="00075B7E" w:rsidP="00075B7E">
      <w:pPr>
        <w:pStyle w:val="ListParagraph"/>
        <w:numPr>
          <w:ilvl w:val="0"/>
          <w:numId w:val="20"/>
        </w:numPr>
      </w:pPr>
      <w:r>
        <w:t>No member of a state board or commission, and no designated employee of a state or local government agency, shall accept gifts with a total value of more than $420 in a calendar year from any single source, if the member or employee would be required to report the receipt of income or gifts from that source on his or her statement of economic interests.  This section shall not apply to any part-time member of the governing board of any public institution of higher education, unless the member is also an elected official.</w:t>
      </w:r>
    </w:p>
    <w:p w:rsidR="00075B7E" w:rsidRDefault="00075B7E" w:rsidP="00075B7E">
      <w:pPr>
        <w:pStyle w:val="ListParagraph"/>
        <w:ind w:left="1800"/>
      </w:pPr>
      <w:r>
        <w:t>Subdivisions (e), (f), and (g) of Government code section 89503 shall apply to the prohibitions in this section.</w:t>
      </w:r>
    </w:p>
    <w:p w:rsidR="00075B7E" w:rsidRDefault="00075B7E" w:rsidP="00075B7E">
      <w:pPr>
        <w:ind w:left="1440"/>
      </w:pPr>
      <w:r>
        <w:t xml:space="preserve">Section 8.2 Loans to Public Officials   </w:t>
      </w:r>
    </w:p>
    <w:p w:rsidR="00075B7E" w:rsidRPr="00F336A9" w:rsidRDefault="00075B7E" w:rsidP="00075B7E">
      <w:pPr>
        <w:ind w:left="2160"/>
      </w:pPr>
      <w:r>
        <w:t>Loans to public officials shall be subject to Sections 87460 to 87462 of the California Government Code.</w:t>
      </w:r>
    </w:p>
    <w:p w:rsidR="00637A56" w:rsidRDefault="00637A56" w:rsidP="00FF41B8">
      <w:pPr>
        <w:ind w:left="720"/>
        <w:rPr>
          <w:b/>
        </w:rPr>
      </w:pPr>
    </w:p>
    <w:p w:rsidR="00075B7E" w:rsidRDefault="00075B7E" w:rsidP="00FF41B8">
      <w:pPr>
        <w:ind w:left="720"/>
      </w:pPr>
      <w:r>
        <w:rPr>
          <w:b/>
        </w:rPr>
        <w:tab/>
      </w:r>
      <w:proofErr w:type="gramStart"/>
      <w:r w:rsidRPr="00075B7E">
        <w:t>Section 9</w:t>
      </w:r>
      <w:r>
        <w:t>.</w:t>
      </w:r>
      <w:proofErr w:type="gramEnd"/>
      <w:r>
        <w:t xml:space="preserve"> </w:t>
      </w:r>
      <w:proofErr w:type="gramStart"/>
      <w:r>
        <w:t>Disqualification.</w:t>
      </w:r>
      <w:proofErr w:type="gramEnd"/>
    </w:p>
    <w:p w:rsidR="00075B7E" w:rsidRDefault="00075B7E" w:rsidP="00075B7E">
      <w:pPr>
        <w:ind w:left="2160"/>
      </w:pPr>
      <w:r>
        <w:t>No designate employee shall make, participate in making, or in any way attempt to use his/her official position to influence the making of any government decision which he/she knows or has reason to know will have a reasonably foreseeable material financial effect, distinguishable from its effect on the public generally, on the official or a member of his/her immediate family or on:</w:t>
      </w:r>
    </w:p>
    <w:p w:rsidR="00075B7E" w:rsidRDefault="00075B7E" w:rsidP="00075B7E">
      <w:pPr>
        <w:pStyle w:val="ListParagraph"/>
        <w:numPr>
          <w:ilvl w:val="4"/>
          <w:numId w:val="16"/>
        </w:numPr>
      </w:pPr>
      <w:r>
        <w:t>Any business entity</w:t>
      </w:r>
      <w:r w:rsidR="00C61016">
        <w:t xml:space="preserve"> in which the designated employee has a direct or indirect investment worth two thousand dollars ($2,000) or more;</w:t>
      </w:r>
    </w:p>
    <w:p w:rsidR="00C61016" w:rsidRDefault="00C61016" w:rsidP="00075B7E">
      <w:pPr>
        <w:pStyle w:val="ListParagraph"/>
        <w:numPr>
          <w:ilvl w:val="4"/>
          <w:numId w:val="16"/>
        </w:numPr>
      </w:pPr>
      <w:r>
        <w:t>Any real property in which the designated employee has a direct or indirect interest worth two thousand dollars ($2,000) or more;</w:t>
      </w:r>
    </w:p>
    <w:p w:rsidR="00C61016" w:rsidRDefault="00C61016" w:rsidP="00075B7E">
      <w:pPr>
        <w:pStyle w:val="ListParagraph"/>
        <w:numPr>
          <w:ilvl w:val="4"/>
          <w:numId w:val="16"/>
        </w:numPr>
      </w:pPr>
      <w:r>
        <w:t>Any source of income, other than gifts and other than loans by a commercial lending institution in the regular course of business on terms available to the public without regard to official status, aggregating five hundred dollars ($500) or more in value provided to, received by or promised to the designated employee within 12 months prior to the time when the decision is made;</w:t>
      </w:r>
    </w:p>
    <w:p w:rsidR="00C61016" w:rsidRDefault="00C61016" w:rsidP="00075B7E">
      <w:pPr>
        <w:pStyle w:val="ListParagraph"/>
        <w:numPr>
          <w:ilvl w:val="4"/>
          <w:numId w:val="16"/>
        </w:numPr>
      </w:pPr>
      <w:r>
        <w:t>Any business entity in which the designated employee is a director, officer, partner, trustee, employee, or holds any position of management; or</w:t>
      </w:r>
    </w:p>
    <w:p w:rsidR="00C61016" w:rsidRDefault="00C61016" w:rsidP="00075B7E">
      <w:pPr>
        <w:pStyle w:val="ListParagraph"/>
        <w:numPr>
          <w:ilvl w:val="4"/>
          <w:numId w:val="16"/>
        </w:numPr>
      </w:pPr>
      <w:r>
        <w:t xml:space="preserve">Any donor or, or any intermediary or agent for a donor of, a gift or gifts aggregating $420 or more </w:t>
      </w:r>
      <w:r>
        <w:lastRenderedPageBreak/>
        <w:t>provided to, received by, or promised to the designated employee within 12 months prior to the time when the decision is made.</w:t>
      </w:r>
    </w:p>
    <w:p w:rsidR="00C61016" w:rsidRDefault="00C61016" w:rsidP="00C61016">
      <w:pPr>
        <w:ind w:left="2160"/>
      </w:pPr>
      <w:r>
        <w:t xml:space="preserve">Section </w:t>
      </w:r>
      <w:proofErr w:type="gramStart"/>
      <w:r w:rsidR="00D025DC">
        <w:t>9.3 Legally</w:t>
      </w:r>
      <w:r>
        <w:t xml:space="preserve"> Required Participation</w:t>
      </w:r>
      <w:proofErr w:type="gramEnd"/>
    </w:p>
    <w:p w:rsidR="001506CF" w:rsidRDefault="00C61016" w:rsidP="00C61016">
      <w:pPr>
        <w:ind w:left="2160"/>
      </w:pPr>
      <w:r>
        <w:t>No</w:t>
      </w:r>
      <w:r w:rsidR="001506CF">
        <w:t xml:space="preserve"> designated employee shall be prevented from making or participating in the making of any decision to the extent his/her participation is legally required for the decision to be made.  The fact that the vote of a designated employee who is on a voting body is needed to break a tie does not make his/her participation legally required for purposes of this section.</w:t>
      </w:r>
    </w:p>
    <w:p w:rsidR="001506CF" w:rsidRDefault="001506CF" w:rsidP="00C61016">
      <w:pPr>
        <w:ind w:left="2160"/>
      </w:pPr>
    </w:p>
    <w:p w:rsidR="001506CF" w:rsidRDefault="001506CF" w:rsidP="00C61016">
      <w:pPr>
        <w:ind w:left="2160"/>
      </w:pPr>
      <w:proofErr w:type="gramStart"/>
      <w:r>
        <w:t xml:space="preserve">Section </w:t>
      </w:r>
      <w:r w:rsidR="00D025DC">
        <w:t>9.5 Disqualification</w:t>
      </w:r>
      <w:r>
        <w:t xml:space="preserve"> of State Officers and Employees.</w:t>
      </w:r>
      <w:proofErr w:type="gramEnd"/>
    </w:p>
    <w:p w:rsidR="00C61016" w:rsidRDefault="001506CF" w:rsidP="00C61016">
      <w:pPr>
        <w:ind w:left="2160"/>
      </w:pPr>
      <w:r>
        <w:t>In addition to the general disqualification provisions of section 9, no state administrative official shall make, participate in making, or use his/her official position to influence any government decision relating to any contract where the state administrative official knows or has reason to know that any party to the contract is a person with whom the state administrative official, or any member</w:t>
      </w:r>
      <w:r w:rsidR="00C61016">
        <w:t xml:space="preserve">  </w:t>
      </w:r>
      <w:r>
        <w:t>of his/her immediate family has, within 12 months prior to the time when the official action is to be taken:</w:t>
      </w:r>
    </w:p>
    <w:p w:rsidR="001506CF" w:rsidRDefault="001506CF" w:rsidP="001506CF">
      <w:pPr>
        <w:pStyle w:val="ListParagraph"/>
        <w:numPr>
          <w:ilvl w:val="0"/>
          <w:numId w:val="21"/>
        </w:numPr>
      </w:pPr>
      <w:r>
        <w:t>Engaged in a business transaction or transactions on terms not available to members of the public, regarding any investment or interest in real property; or</w:t>
      </w:r>
    </w:p>
    <w:p w:rsidR="001506CF" w:rsidRDefault="001506CF" w:rsidP="001506CF">
      <w:pPr>
        <w:pStyle w:val="ListParagraph"/>
        <w:numPr>
          <w:ilvl w:val="0"/>
          <w:numId w:val="21"/>
        </w:numPr>
      </w:pPr>
      <w:r>
        <w:t>Engaged in a business transaction or transactions on terms not available to members of the public, regarding the rendering of goods or services totaling in value one thousand dollars ($1,000) or more.</w:t>
      </w:r>
    </w:p>
    <w:p w:rsidR="001506CF" w:rsidRDefault="001506CF" w:rsidP="001506CF"/>
    <w:p w:rsidR="001506CF" w:rsidRDefault="00EA29B4" w:rsidP="001506CF">
      <w:pPr>
        <w:ind w:left="2160"/>
      </w:pPr>
      <w:proofErr w:type="gramStart"/>
      <w:r>
        <w:t>Section 10.</w:t>
      </w:r>
      <w:proofErr w:type="gramEnd"/>
      <w:r>
        <w:t xml:space="preserve">  Disclosure of Disqualifying Interest</w:t>
      </w:r>
    </w:p>
    <w:p w:rsidR="00EA29B4" w:rsidRDefault="00EA29B4" w:rsidP="001506CF">
      <w:pPr>
        <w:ind w:left="2160"/>
      </w:pPr>
      <w:r>
        <w:t>When a designated employee determines that he/she should not make a governmental decision because he/she has a disqualifying interest in it, the determination not to act may be accompanied by disclosure of the disqualifying interest.</w:t>
      </w:r>
    </w:p>
    <w:p w:rsidR="00EA29B4" w:rsidRDefault="00EA29B4" w:rsidP="001506CF">
      <w:pPr>
        <w:ind w:left="2160"/>
      </w:pPr>
    </w:p>
    <w:p w:rsidR="00EA29B4" w:rsidRDefault="00EA29B4" w:rsidP="001506CF">
      <w:pPr>
        <w:ind w:left="2160"/>
      </w:pPr>
      <w:proofErr w:type="gramStart"/>
      <w:r>
        <w:t>Section 11.</w:t>
      </w:r>
      <w:proofErr w:type="gramEnd"/>
      <w:r>
        <w:t xml:space="preserve">  Assistance of the Commission and Counsel</w:t>
      </w:r>
    </w:p>
    <w:p w:rsidR="00EA29B4" w:rsidRDefault="00D025DC" w:rsidP="001506CF">
      <w:pPr>
        <w:ind w:left="2160"/>
      </w:pPr>
      <w:r>
        <w:t>Any designated employee who is unsure of his/her duties under this code may request assistance from the Fair Political Practices commission pursuant to Government code section 83114 or from the attorney for his/her agency, provided that nothing in this section requires the attorney for the agency to issue any formal or informal opinion.</w:t>
      </w:r>
    </w:p>
    <w:p w:rsidR="00370BA6" w:rsidRDefault="00370BA6" w:rsidP="001506CF">
      <w:pPr>
        <w:ind w:left="2160"/>
      </w:pPr>
    </w:p>
    <w:p w:rsidR="00370BA6" w:rsidRDefault="00370BA6" w:rsidP="001506CF">
      <w:pPr>
        <w:ind w:left="2160"/>
      </w:pPr>
      <w:r>
        <w:t>Section 12, Violations</w:t>
      </w:r>
    </w:p>
    <w:p w:rsidR="00370BA6" w:rsidRDefault="00370BA6" w:rsidP="001506CF">
      <w:pPr>
        <w:ind w:left="2160"/>
      </w:pPr>
      <w:r>
        <w:t xml:space="preserve">This code has the force and effect of law.  Designated employees violating any provision of this code are subject to the administrative, criminal and civil sanctions provided in the </w:t>
      </w:r>
      <w:r>
        <w:lastRenderedPageBreak/>
        <w:t>Political Reform Act, Government Code sections 81000 – 91015.  In addition, a decision in relation to which a violation of the disqualification provisions of this code or of Government Code section 87100 or 87450 has occurred may be set aside as void pursuant to Government Code section 91003.</w:t>
      </w:r>
    </w:p>
    <w:p w:rsidR="00370BA6" w:rsidRDefault="00370BA6" w:rsidP="00370BA6"/>
    <w:p w:rsidR="00370BA6" w:rsidRDefault="00370BA6" w:rsidP="00370BA6">
      <w:pPr>
        <w:ind w:left="720"/>
      </w:pPr>
      <w:r>
        <w:t>NOTE:  Authority cited: Section 83112 Government Code, Reference: Sections 87103(e), 87300-87302, 89501, 89502 and 89503, Government Code.</w:t>
      </w:r>
    </w:p>
    <w:p w:rsidR="00370BA6" w:rsidRDefault="00370BA6" w:rsidP="00370BA6">
      <w:pPr>
        <w:ind w:left="720"/>
      </w:pPr>
    </w:p>
    <w:p w:rsidR="00370BA6" w:rsidRDefault="00370BA6" w:rsidP="00370BA6">
      <w:pPr>
        <w:ind w:left="720"/>
      </w:pPr>
    </w:p>
    <w:p w:rsidR="00370BA6" w:rsidRDefault="00370BA6" w:rsidP="00370BA6">
      <w:pPr>
        <w:ind w:left="720"/>
      </w:pPr>
    </w:p>
    <w:p w:rsidR="00370BA6" w:rsidRDefault="00370BA6" w:rsidP="00370BA6">
      <w:pPr>
        <w:ind w:left="720"/>
      </w:pPr>
    </w:p>
    <w:p w:rsidR="00370BA6" w:rsidRDefault="00370BA6" w:rsidP="00370BA6">
      <w:pPr>
        <w:ind w:left="720"/>
        <w:jc w:val="center"/>
        <w:rPr>
          <w:b/>
          <w:u w:val="single"/>
        </w:rPr>
      </w:pPr>
      <w:r>
        <w:rPr>
          <w:b/>
          <w:u w:val="single"/>
        </w:rPr>
        <w:t>Appendix</w:t>
      </w:r>
    </w:p>
    <w:p w:rsidR="00370BA6" w:rsidRDefault="00370BA6" w:rsidP="00370BA6">
      <w:pPr>
        <w:ind w:left="720"/>
        <w:jc w:val="center"/>
        <w:rPr>
          <w:b/>
          <w:u w:val="single"/>
        </w:rPr>
      </w:pPr>
    </w:p>
    <w:p w:rsidR="00370BA6" w:rsidRDefault="00370BA6" w:rsidP="00370BA6">
      <w:pPr>
        <w:ind w:left="720"/>
      </w:pPr>
      <w:r>
        <w:t>See attached pages of Resolution #1-2005, approved on March 7, 2005.  Determining designated members remains the same.</w:t>
      </w:r>
    </w:p>
    <w:p w:rsidR="00370BA6" w:rsidRDefault="00370BA6" w:rsidP="00370BA6">
      <w:pPr>
        <w:ind w:left="720"/>
      </w:pPr>
    </w:p>
    <w:p w:rsidR="00370BA6" w:rsidRDefault="00370BA6" w:rsidP="00370BA6">
      <w:pPr>
        <w:ind w:left="720"/>
      </w:pPr>
    </w:p>
    <w:p w:rsidR="00370BA6" w:rsidRDefault="00370BA6" w:rsidP="00370BA6">
      <w:pPr>
        <w:ind w:left="720"/>
      </w:pPr>
    </w:p>
    <w:p w:rsidR="00370BA6" w:rsidRDefault="00370BA6" w:rsidP="00370BA6">
      <w:pPr>
        <w:ind w:left="720"/>
      </w:pPr>
    </w:p>
    <w:p w:rsidR="00370BA6" w:rsidRDefault="00370BA6" w:rsidP="00370BA6">
      <w:pPr>
        <w:ind w:left="720"/>
      </w:pPr>
    </w:p>
    <w:p w:rsidR="00370BA6" w:rsidRDefault="00370BA6" w:rsidP="00370BA6">
      <w:pPr>
        <w:ind w:left="720"/>
      </w:pPr>
    </w:p>
    <w:p w:rsidR="00370BA6" w:rsidRDefault="00370BA6" w:rsidP="00370BA6">
      <w:pPr>
        <w:ind w:left="720"/>
      </w:pPr>
      <w:r>
        <w:t>Updated and approved by Board of Directors</w:t>
      </w:r>
    </w:p>
    <w:p w:rsidR="00370BA6" w:rsidRDefault="00370BA6" w:rsidP="00370BA6">
      <w:pPr>
        <w:ind w:left="720"/>
      </w:pPr>
      <w:r>
        <w:t>July 2, 2012</w:t>
      </w:r>
    </w:p>
    <w:p w:rsidR="00583F9C" w:rsidRDefault="00583F9C" w:rsidP="00370BA6">
      <w:pPr>
        <w:ind w:left="720"/>
      </w:pPr>
    </w:p>
    <w:p w:rsidR="00583F9C" w:rsidRPr="00370BA6" w:rsidRDefault="00583F9C" w:rsidP="00370BA6">
      <w:pPr>
        <w:ind w:left="720"/>
      </w:pPr>
      <w:r>
        <w:rPr>
          <w:noProof/>
          <w:lang w:eastAsia="zh-TW"/>
        </w:rPr>
        <w:pict>
          <v:shapetype id="_x0000_t202" coordsize="21600,21600" o:spt="202" path="m,l,21600r21600,l21600,xe">
            <v:stroke joinstyle="miter"/>
            <v:path gradientshapeok="t" o:connecttype="rect"/>
          </v:shapetype>
          <v:shape id="_x0000_s1026" type="#_x0000_t202" style="position:absolute;left:0;text-align:left;margin-left:20.25pt;margin-top:78.05pt;width:424.5pt;height:142.5pt;z-index:251660288;mso-width-relative:margin;mso-height-relative:margin">
            <v:textbox>
              <w:txbxContent>
                <w:p w:rsidR="00583F9C" w:rsidRDefault="00583F9C">
                  <w:r>
                    <w:t>Revised/Approved on July 2, 2012</w:t>
                  </w:r>
                </w:p>
                <w:p w:rsidR="00583F9C" w:rsidRDefault="00583F9C"/>
                <w:p w:rsidR="00583F9C" w:rsidRDefault="00583F9C"/>
                <w:p w:rsidR="00583F9C" w:rsidRDefault="00583F9C">
                  <w:r>
                    <w:t>Board Chairperson_____________________________________________________</w:t>
                  </w:r>
                </w:p>
                <w:p w:rsidR="00583F9C" w:rsidRDefault="00583F9C"/>
                <w:p w:rsidR="00583F9C" w:rsidRDefault="00583F9C"/>
                <w:p w:rsidR="00583F9C" w:rsidRDefault="00583F9C">
                  <w:r>
                    <w:t>District Secretary______________________________________________________</w:t>
                  </w:r>
                </w:p>
              </w:txbxContent>
            </v:textbox>
          </v:shape>
        </w:pict>
      </w:r>
    </w:p>
    <w:sectPr w:rsidR="00583F9C" w:rsidRPr="00370BA6" w:rsidSect="00CC5CD6">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796E" w:rsidRDefault="00EB796E">
      <w:r>
        <w:separator/>
      </w:r>
    </w:p>
  </w:endnote>
  <w:endnote w:type="continuationSeparator" w:id="0">
    <w:p w:rsidR="00EB796E" w:rsidRDefault="00EB79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537" w:rsidRDefault="008F1AEA" w:rsidP="00014604">
    <w:pPr>
      <w:pStyle w:val="Footer"/>
      <w:framePr w:wrap="around" w:vAnchor="text" w:hAnchor="margin" w:xAlign="right" w:y="1"/>
      <w:rPr>
        <w:rStyle w:val="PageNumber"/>
      </w:rPr>
    </w:pPr>
    <w:r>
      <w:rPr>
        <w:rStyle w:val="PageNumber"/>
      </w:rPr>
      <w:fldChar w:fldCharType="begin"/>
    </w:r>
    <w:r w:rsidR="00D96537">
      <w:rPr>
        <w:rStyle w:val="PageNumber"/>
      </w:rPr>
      <w:instrText xml:space="preserve">PAGE  </w:instrText>
    </w:r>
    <w:r>
      <w:rPr>
        <w:rStyle w:val="PageNumber"/>
      </w:rPr>
      <w:fldChar w:fldCharType="end"/>
    </w:r>
  </w:p>
  <w:p w:rsidR="00D96537" w:rsidRDefault="00D96537" w:rsidP="00E5344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7983"/>
      <w:gridCol w:w="887"/>
    </w:tblGrid>
    <w:tr w:rsidR="00D96537">
      <w:tc>
        <w:tcPr>
          <w:tcW w:w="4500" w:type="pct"/>
          <w:tcBorders>
            <w:top w:val="single" w:sz="4" w:space="0" w:color="000000" w:themeColor="text1"/>
          </w:tcBorders>
        </w:tcPr>
        <w:p w:rsidR="00D96537" w:rsidRDefault="008F1AEA" w:rsidP="008A7713">
          <w:pPr>
            <w:pStyle w:val="Footer"/>
            <w:jc w:val="right"/>
          </w:pPr>
          <w:sdt>
            <w:sdtPr>
              <w:rPr>
                <w:rFonts w:asciiTheme="minorHAnsi" w:hAnsiTheme="minorHAnsi" w:cstheme="minorHAnsi"/>
              </w:rPr>
              <w:alias w:val="Company"/>
              <w:id w:val="75971759"/>
              <w:placeholder>
                <w:docPart w:val="F6E719E945374AF0ADAE9044FDA238DF"/>
              </w:placeholder>
              <w:dataBinding w:prefixMappings="xmlns:ns0='http://schemas.openxmlformats.org/officeDocument/2006/extended-properties'" w:xpath="/ns0:Properties[1]/ns0:Company[1]" w:storeItemID="{6668398D-A668-4E3E-A5EB-62B293D839F1}"/>
              <w:text/>
            </w:sdtPr>
            <w:sdtContent>
              <w:r w:rsidR="00D96537" w:rsidRPr="008A7713">
                <w:rPr>
                  <w:rFonts w:asciiTheme="minorHAnsi" w:hAnsiTheme="minorHAnsi" w:cstheme="minorHAnsi"/>
                </w:rPr>
                <w:t>Policy/SOP 1407, Conflict of Interest</w:t>
              </w:r>
            </w:sdtContent>
          </w:sdt>
          <w:r w:rsidR="00D96537">
            <w:t xml:space="preserve"> </w:t>
          </w:r>
        </w:p>
      </w:tc>
      <w:tc>
        <w:tcPr>
          <w:tcW w:w="500" w:type="pct"/>
          <w:tcBorders>
            <w:top w:val="single" w:sz="4" w:space="0" w:color="C0504D" w:themeColor="accent2"/>
          </w:tcBorders>
          <w:shd w:val="clear" w:color="auto" w:fill="943634" w:themeFill="accent2" w:themeFillShade="BF"/>
        </w:tcPr>
        <w:p w:rsidR="00D96537" w:rsidRDefault="008F1AEA">
          <w:pPr>
            <w:pStyle w:val="Header"/>
            <w:rPr>
              <w:color w:val="FFFFFF" w:themeColor="background1"/>
            </w:rPr>
          </w:pPr>
          <w:fldSimple w:instr=" PAGE   \* MERGEFORMAT ">
            <w:r w:rsidR="00583F9C" w:rsidRPr="00583F9C">
              <w:rPr>
                <w:noProof/>
                <w:color w:val="FFFFFF" w:themeColor="background1"/>
              </w:rPr>
              <w:t>8</w:t>
            </w:r>
          </w:fldSimple>
        </w:p>
      </w:tc>
    </w:tr>
  </w:tbl>
  <w:p w:rsidR="00D96537" w:rsidRDefault="00D96537" w:rsidP="00E5344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796E" w:rsidRDefault="00EB796E">
      <w:r>
        <w:separator/>
      </w:r>
    </w:p>
  </w:footnote>
  <w:footnote w:type="continuationSeparator" w:id="0">
    <w:p w:rsidR="00EB796E" w:rsidRDefault="00EB79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2442"/>
    <w:multiLevelType w:val="hybridMultilevel"/>
    <w:tmpl w:val="DB141038"/>
    <w:lvl w:ilvl="0" w:tplc="8D0C81E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6CB51F4"/>
    <w:multiLevelType w:val="hybridMultilevel"/>
    <w:tmpl w:val="795EB1F2"/>
    <w:lvl w:ilvl="0" w:tplc="4CF606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E50358"/>
    <w:multiLevelType w:val="hybridMultilevel"/>
    <w:tmpl w:val="E42029E6"/>
    <w:lvl w:ilvl="0" w:tplc="2EB2AE8C">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FD0ACC"/>
    <w:multiLevelType w:val="hybridMultilevel"/>
    <w:tmpl w:val="6BD2CF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E0966D1C">
      <w:start w:val="1"/>
      <w:numFmt w:val="lowerLetter"/>
      <w:lvlText w:val="%3."/>
      <w:lvlJc w:val="left"/>
      <w:pPr>
        <w:tabs>
          <w:tab w:val="num" w:pos="2340"/>
        </w:tabs>
        <w:ind w:left="23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182DE8"/>
    <w:multiLevelType w:val="hybridMultilevel"/>
    <w:tmpl w:val="39E8EA4A"/>
    <w:lvl w:ilvl="0" w:tplc="CC7689F0">
      <w:start w:val="1"/>
      <w:numFmt w:val="lowerRoman"/>
      <w:lvlText w:val="%1."/>
      <w:lvlJc w:val="left"/>
      <w:pPr>
        <w:ind w:left="1440" w:hanging="72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682552"/>
    <w:multiLevelType w:val="hybridMultilevel"/>
    <w:tmpl w:val="4D4E1B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A71873"/>
    <w:multiLevelType w:val="hybridMultilevel"/>
    <w:tmpl w:val="5E3A41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77B4BE4"/>
    <w:multiLevelType w:val="hybridMultilevel"/>
    <w:tmpl w:val="B008B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140409"/>
    <w:multiLevelType w:val="hybridMultilevel"/>
    <w:tmpl w:val="BD364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B74554"/>
    <w:multiLevelType w:val="hybridMultilevel"/>
    <w:tmpl w:val="9E3A8C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455396"/>
    <w:multiLevelType w:val="hybridMultilevel"/>
    <w:tmpl w:val="B9742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585709"/>
    <w:multiLevelType w:val="hybridMultilevel"/>
    <w:tmpl w:val="179C39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D2393A"/>
    <w:multiLevelType w:val="hybridMultilevel"/>
    <w:tmpl w:val="12967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D30DFA"/>
    <w:multiLevelType w:val="hybridMultilevel"/>
    <w:tmpl w:val="CCF67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E05C56"/>
    <w:multiLevelType w:val="hybridMultilevel"/>
    <w:tmpl w:val="35264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A2B4BCB"/>
    <w:multiLevelType w:val="hybridMultilevel"/>
    <w:tmpl w:val="64F44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7D3525"/>
    <w:multiLevelType w:val="hybridMultilevel"/>
    <w:tmpl w:val="38A46AE6"/>
    <w:lvl w:ilvl="0" w:tplc="0204991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nsid w:val="70BB04F2"/>
    <w:multiLevelType w:val="hybridMultilevel"/>
    <w:tmpl w:val="EDBE514A"/>
    <w:lvl w:ilvl="0" w:tplc="3A342F2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C133AC"/>
    <w:multiLevelType w:val="hybridMultilevel"/>
    <w:tmpl w:val="09402A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775D9D"/>
    <w:multiLevelType w:val="hybridMultilevel"/>
    <w:tmpl w:val="E0408A9A"/>
    <w:lvl w:ilvl="0" w:tplc="AE7C4416">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2D127986">
      <w:start w:val="1"/>
      <w:numFmt w:val="decimal"/>
      <w:lvlText w:val="%3)"/>
      <w:lvlJc w:val="left"/>
      <w:pPr>
        <w:ind w:left="2340" w:hanging="360"/>
      </w:pPr>
      <w:rPr>
        <w:rFonts w:hint="default"/>
        <w:b w:val="0"/>
      </w:rPr>
    </w:lvl>
    <w:lvl w:ilvl="3" w:tplc="0409000F">
      <w:start w:val="1"/>
      <w:numFmt w:val="decimal"/>
      <w:lvlText w:val="%4."/>
      <w:lvlJc w:val="left"/>
      <w:pPr>
        <w:ind w:left="2880" w:hanging="360"/>
      </w:pPr>
    </w:lvl>
    <w:lvl w:ilvl="4" w:tplc="D00A8986">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5B080C"/>
    <w:multiLevelType w:val="hybridMultilevel"/>
    <w:tmpl w:val="E40E7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14"/>
  </w:num>
  <w:num w:numId="5">
    <w:abstractNumId w:val="11"/>
  </w:num>
  <w:num w:numId="6">
    <w:abstractNumId w:val="12"/>
  </w:num>
  <w:num w:numId="7">
    <w:abstractNumId w:val="20"/>
  </w:num>
  <w:num w:numId="8">
    <w:abstractNumId w:val="15"/>
  </w:num>
  <w:num w:numId="9">
    <w:abstractNumId w:val="8"/>
  </w:num>
  <w:num w:numId="10">
    <w:abstractNumId w:val="7"/>
  </w:num>
  <w:num w:numId="11">
    <w:abstractNumId w:val="13"/>
  </w:num>
  <w:num w:numId="12">
    <w:abstractNumId w:val="10"/>
  </w:num>
  <w:num w:numId="13">
    <w:abstractNumId w:val="5"/>
  </w:num>
  <w:num w:numId="14">
    <w:abstractNumId w:val="18"/>
  </w:num>
  <w:num w:numId="15">
    <w:abstractNumId w:val="17"/>
  </w:num>
  <w:num w:numId="16">
    <w:abstractNumId w:val="19"/>
  </w:num>
  <w:num w:numId="17">
    <w:abstractNumId w:val="2"/>
  </w:num>
  <w:num w:numId="18">
    <w:abstractNumId w:val="4"/>
  </w:num>
  <w:num w:numId="19">
    <w:abstractNumId w:val="9"/>
  </w:num>
  <w:num w:numId="20">
    <w:abstractNumId w:val="0"/>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3552A6"/>
    <w:rsid w:val="00014604"/>
    <w:rsid w:val="00026EF5"/>
    <w:rsid w:val="000312C4"/>
    <w:rsid w:val="00075B7E"/>
    <w:rsid w:val="000F6DA2"/>
    <w:rsid w:val="00110935"/>
    <w:rsid w:val="001506CF"/>
    <w:rsid w:val="001A53A3"/>
    <w:rsid w:val="00226B91"/>
    <w:rsid w:val="0023396A"/>
    <w:rsid w:val="0027741D"/>
    <w:rsid w:val="002C4C32"/>
    <w:rsid w:val="002E5EF6"/>
    <w:rsid w:val="003552A6"/>
    <w:rsid w:val="00355F48"/>
    <w:rsid w:val="00370BA6"/>
    <w:rsid w:val="00386BD3"/>
    <w:rsid w:val="003D7A24"/>
    <w:rsid w:val="00446C13"/>
    <w:rsid w:val="00447501"/>
    <w:rsid w:val="00465DC6"/>
    <w:rsid w:val="004C4AC1"/>
    <w:rsid w:val="00562CDD"/>
    <w:rsid w:val="00567A6A"/>
    <w:rsid w:val="00581E4D"/>
    <w:rsid w:val="00583F9C"/>
    <w:rsid w:val="005C4451"/>
    <w:rsid w:val="005F5244"/>
    <w:rsid w:val="0060610B"/>
    <w:rsid w:val="006273D4"/>
    <w:rsid w:val="00637A56"/>
    <w:rsid w:val="0064178D"/>
    <w:rsid w:val="00697BD8"/>
    <w:rsid w:val="006A2BDE"/>
    <w:rsid w:val="006A7E70"/>
    <w:rsid w:val="006C2C99"/>
    <w:rsid w:val="00747513"/>
    <w:rsid w:val="00762681"/>
    <w:rsid w:val="00770DCC"/>
    <w:rsid w:val="00793485"/>
    <w:rsid w:val="007B3328"/>
    <w:rsid w:val="007D6B7A"/>
    <w:rsid w:val="008712F8"/>
    <w:rsid w:val="00890C0E"/>
    <w:rsid w:val="008A7713"/>
    <w:rsid w:val="008F1AEA"/>
    <w:rsid w:val="00906A1F"/>
    <w:rsid w:val="00964C82"/>
    <w:rsid w:val="00A76FFF"/>
    <w:rsid w:val="00A862B6"/>
    <w:rsid w:val="00AA1588"/>
    <w:rsid w:val="00B0494A"/>
    <w:rsid w:val="00B84766"/>
    <w:rsid w:val="00BA40F1"/>
    <w:rsid w:val="00C61016"/>
    <w:rsid w:val="00C653B5"/>
    <w:rsid w:val="00C94AC8"/>
    <w:rsid w:val="00CA08B4"/>
    <w:rsid w:val="00CA668E"/>
    <w:rsid w:val="00CC5CD6"/>
    <w:rsid w:val="00CE36BB"/>
    <w:rsid w:val="00D025DC"/>
    <w:rsid w:val="00D96537"/>
    <w:rsid w:val="00DA40C4"/>
    <w:rsid w:val="00DF0F8F"/>
    <w:rsid w:val="00E5344E"/>
    <w:rsid w:val="00EA29B4"/>
    <w:rsid w:val="00EB796E"/>
    <w:rsid w:val="00ED1E6F"/>
    <w:rsid w:val="00F336A9"/>
    <w:rsid w:val="00FA2209"/>
    <w:rsid w:val="00FD791B"/>
    <w:rsid w:val="00FF41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5C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344E"/>
    <w:pPr>
      <w:tabs>
        <w:tab w:val="center" w:pos="4320"/>
        <w:tab w:val="right" w:pos="8640"/>
      </w:tabs>
    </w:pPr>
  </w:style>
  <w:style w:type="character" w:styleId="PageNumber">
    <w:name w:val="page number"/>
    <w:basedOn w:val="DefaultParagraphFont"/>
    <w:rsid w:val="00E5344E"/>
  </w:style>
  <w:style w:type="paragraph" w:styleId="ListParagraph">
    <w:name w:val="List Paragraph"/>
    <w:basedOn w:val="Normal"/>
    <w:uiPriority w:val="34"/>
    <w:qFormat/>
    <w:rsid w:val="00567A6A"/>
    <w:pPr>
      <w:ind w:left="720"/>
    </w:pPr>
  </w:style>
  <w:style w:type="paragraph" w:styleId="Header">
    <w:name w:val="header"/>
    <w:basedOn w:val="Normal"/>
    <w:link w:val="HeaderChar"/>
    <w:uiPriority w:val="99"/>
    <w:rsid w:val="00386BD3"/>
    <w:pPr>
      <w:tabs>
        <w:tab w:val="center" w:pos="4680"/>
        <w:tab w:val="right" w:pos="9360"/>
      </w:tabs>
    </w:pPr>
  </w:style>
  <w:style w:type="character" w:customStyle="1" w:styleId="HeaderChar">
    <w:name w:val="Header Char"/>
    <w:basedOn w:val="DefaultParagraphFont"/>
    <w:link w:val="Header"/>
    <w:uiPriority w:val="99"/>
    <w:rsid w:val="00386BD3"/>
    <w:rPr>
      <w:sz w:val="24"/>
      <w:szCs w:val="24"/>
    </w:rPr>
  </w:style>
  <w:style w:type="character" w:customStyle="1" w:styleId="FooterChar">
    <w:name w:val="Footer Char"/>
    <w:basedOn w:val="DefaultParagraphFont"/>
    <w:link w:val="Footer"/>
    <w:uiPriority w:val="99"/>
    <w:rsid w:val="00386BD3"/>
    <w:rPr>
      <w:sz w:val="24"/>
      <w:szCs w:val="24"/>
    </w:rPr>
  </w:style>
  <w:style w:type="paragraph" w:styleId="BalloonText">
    <w:name w:val="Balloon Text"/>
    <w:basedOn w:val="Normal"/>
    <w:link w:val="BalloonTextChar"/>
    <w:rsid w:val="008A7713"/>
    <w:rPr>
      <w:rFonts w:ascii="Tahoma" w:hAnsi="Tahoma" w:cs="Tahoma"/>
      <w:sz w:val="16"/>
      <w:szCs w:val="16"/>
    </w:rPr>
  </w:style>
  <w:style w:type="character" w:customStyle="1" w:styleId="BalloonTextChar">
    <w:name w:val="Balloon Text Char"/>
    <w:basedOn w:val="DefaultParagraphFont"/>
    <w:link w:val="BalloonText"/>
    <w:rsid w:val="008A77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6E719E945374AF0ADAE9044FDA238DF"/>
        <w:category>
          <w:name w:val="General"/>
          <w:gallery w:val="placeholder"/>
        </w:category>
        <w:types>
          <w:type w:val="bbPlcHdr"/>
        </w:types>
        <w:behaviors>
          <w:behavior w:val="content"/>
        </w:behaviors>
        <w:guid w:val="{889017B4-EFF9-4982-8D77-F9E7A8292080}"/>
      </w:docPartPr>
      <w:docPartBody>
        <w:p w:rsidR="00FF2664" w:rsidRDefault="00FF2664" w:rsidP="00FF2664">
          <w:pPr>
            <w:pStyle w:val="F6E719E945374AF0ADAE9044FDA238DF"/>
          </w:pPr>
          <w: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F2664"/>
    <w:rsid w:val="006C724A"/>
    <w:rsid w:val="00FF26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2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E719E945374AF0ADAE9044FDA238DF">
    <w:name w:val="F6E719E945374AF0ADAE9044FDA238DF"/>
    <w:rsid w:val="00FF2664"/>
  </w:style>
  <w:style w:type="paragraph" w:customStyle="1" w:styleId="1BAFE31E934F44F49B122B1694D0AB43">
    <w:name w:val="1BAFE31E934F44F49B122B1694D0AB43"/>
    <w:rsid w:val="006C724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EF881-8F94-4201-B13D-61CA82B68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2762</Words>
  <Characters>15748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FELTON FIRE PROTECTION DISTRICT</vt:lpstr>
    </vt:vector>
  </TitlesOfParts>
  <Company>Policy/SOP 1407, Conflict of Interest</Company>
  <LinksUpToDate>false</LinksUpToDate>
  <CharactersWithSpaces>18474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FELTON FIRE PROTECTION DISTRICT</dc:title>
  <dc:creator>Ron Rickabaugh</dc:creator>
  <cp:lastModifiedBy>Ron Rickabaugh</cp:lastModifiedBy>
  <cp:revision>4</cp:revision>
  <cp:lastPrinted>2009-03-13T19:04:00Z</cp:lastPrinted>
  <dcterms:created xsi:type="dcterms:W3CDTF">2012-06-26T00:05:00Z</dcterms:created>
  <dcterms:modified xsi:type="dcterms:W3CDTF">2012-06-28T15:28:00Z</dcterms:modified>
</cp:coreProperties>
</file>